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media/rId912.png" ContentType="image/png"/>
  <Override PartName="/word/media/" ContentType="application/octet-stream"/>
  <Override PartName="/word/media/logo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Give every perspective a seat</w:t>
      </w:r>
    </w:p>
    <w:p>
      <w:pPr>
        <w:pStyle w:val="Subtitle"/>
      </w:pPr>
      <w:r>
        <w:t xml:space="preserve">A council brief for a considered decision</w:t>
      </w:r>
    </w:p>
    <w:p>
      <w:pPr>
        <w:pStyle w:val="Author"/>
      </w:pPr>
      <w:r>
        <w:t xml:space="preserve">Small Council</w:t>
      </w:r>
    </w:p>
    <w:p>
      <w:pPr>
        <w:pStyle w:val="Date"/>
      </w:pPr>
      <w:r>
        <w:t xml:space="preserve">6 November 2026</w:t>
      </w:r>
    </w:p>
    <w:p>
      <w:pPr>
        <w:pStyle w:val="AbstractTitle"/>
      </w:pPr>
      <w:r>
        <w:t xml:space="preserve">Abstract</w:t>
      </w:r>
    </w:p>
    <w:p>
      <w:pPr>
        <w:pStyle w:val="Abstract"/>
      </w:pPr>
      <w:r>
        <w:t xml:space="preserve">An illustrative brief demonstrating the Small Council document system. The advisors, question, recommendations, and records are fictional.</w:t>
      </w:r>
    </w:p>
    <w:bookmarkStart w:id="918" w:name="start-with-a-clear-question"/>
    <w:p>
      <w:pPr>
        <w:pStyle w:val="Heading1"/>
      </w:pPr>
      <w:r>
        <w:t xml:space="preserve">Start with a clear question</w:t>
      </w:r>
    </w:p>
    <w:p>
      <w:pPr>
        <w:pStyle w:val="FirstParagraph"/>
      </w:pPr>
      <w:r>
        <w:t xml:space="preserve">Small Council brings AI advisors into individual conversations and council meetings. Spaces organize related work and saved context. Agreement between advisors is not evidence that a claim is correct.</w:t>
      </w:r>
    </w:p>
    <w:p>
      <w:pPr>
        <w:pStyle w:val="BodyText"/>
      </w:pPr>
      <w:r>
        <w:t xml:space="preserve">This fictional council considers a community workshop before a longer course. It illustrates useful questions, not approval for a real project.</w:t>
      </w:r>
    </w:p>
    <w:p>
      <w:pPr>
        <w:pStyle w:val="Callout"/>
      </w:pPr>
      <w:r>
        <w:rPr>
          <w:b/>
          <w:bCs/>
        </w:rPr>
        <w:t xml:space="preserve">Illustrative example.</w:t>
      </w:r>
      <w:r>
        <w:t xml:space="preserve"> </w:t>
      </w:r>
      <w:r>
        <w:t xml:space="preserve">AI advisors offer perspectives. The person reviewing them checks the evidence and decides what to do.</w:t>
      </w:r>
    </w:p>
    <w:bookmarkStart w:id="917" w:name="frame-the-decision"/>
    <w:p>
      <w:pPr>
        <w:pStyle w:val="Heading2"/>
      </w:pPr>
      <w:r>
        <w:t xml:space="preserve">Frame the decision</w:t>
      </w:r>
    </w:p>
    <w:p>
      <w:pPr>
        <w:pStyle w:val="CaptionedFigure"/>
      </w:pPr>
      <w:r>
        <w:drawing>
          <wp:inline>
            <wp:extent cx="5486400" cy="1645920"/>
            <wp:effectExtent b="0" l="0" r="0" t="0"/>
            <wp:docPr descr="Illustrative council workflow: frame a question, invite perspectives, and review the evidence before deciding." title="" id="913" name="Picture"/>
            <a:graphic>
              <a:graphicData uri="http://schemas.openxmlformats.org/drawingml/2006/picture">
                <pic:pic>
                  <pic:nvPicPr>
                    <pic:cNvPr descr="sc-workflow.png" id="914" name="Picture"/>
                    <pic:cNvPicPr>
                      <a:picLocks noChangeArrowheads="1" noChangeAspect="1"/>
                    </pic:cNvPicPr>
                  </pic:nvPicPr>
                  <pic:blipFill>
                    <a:blip r:embed="rId9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Illustrative council workflow: frame a question, invite perspectives, and review the evidence before deciding.</w:t>
      </w:r>
    </w:p>
    <w:p>
      <w:pPr>
        <w:pStyle w:val="BodyText"/>
      </w:pPr>
      <w:r>
        <w:t xml:space="preserve">The question is: “What would we learn from a two-hour pilot workshop?” The context includes a proposed topic, an invitation list, and preparation time.</w:t>
      </w:r>
    </w:p>
    <w:bookmarkStart w:id="915" w:name="keep-the-constraints-visible"/>
    <w:p>
      <w:pPr>
        <w:pStyle w:val="Heading3"/>
      </w:pPr>
      <w:r>
        <w:t xml:space="preserve">Keep the constraints visible</w:t>
      </w:r>
    </w:p>
    <w:p>
      <w:pPr>
        <w:pStyle w:val="FirstParagraph"/>
      </w:pPr>
      <w:r>
        <w:t xml:space="preserve">Name the time, audience, and decision. Distinguish user-supplied facts from assumptions introduced during discussion.</w:t>
      </w:r>
    </w:p>
    <w:bookmarkEnd w:id="915"/>
    <w:bookmarkStart w:id="916" w:name="choose-the-conversation-mode"/>
    <w:p>
      <w:pPr>
        <w:pStyle w:val="Heading3"/>
      </w:pPr>
      <w:r>
        <w:t xml:space="preserve">Choose the conversation mode</w:t>
      </w:r>
    </w:p>
    <w:p>
      <w:pPr>
        <w:pStyle w:val="FirstParagraph"/>
      </w:pPr>
      <w:r>
        <w:t xml:space="preserve">Use open discussion to invite advisors, brainstorming to explore, or consensus to work toward agreement. Preserve open questions and dissent.</w:t>
      </w:r>
    </w:p>
    <w:bookmarkEnd w:id="916"/>
    <w:bookmarkEnd w:id="917"/>
    <w:bookmarkEnd w:id="918"/>
    <w:bookmarkStart w:id="922" w:name="compare-the-perspectives"/>
    <w:p>
      <w:pPr>
        <w:pStyle w:val="Heading1"/>
      </w:pPr>
      <w:r>
        <w:t xml:space="preserve">Compare the perspectives</w:t>
      </w:r>
    </w:p>
    <w:p>
      <w:pPr>
        <w:pStyle w:val="FirstParagraph"/>
      </w:pPr>
      <w:r>
        <w:t xml:space="preserve">These advisor roles are illustrative, not built-in personas or a limit on participation.</w:t>
      </w:r>
    </w:p>
    <w:p>
      <w:pPr>
        <w:pStyle w:val="TableCaption"/>
      </w:pPr>
      <w:r>
        <w:t xml:space="preserve">Fictional council participants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Fictional council participants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AI advisor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Perspective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Question to examine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Strategist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Desired outcome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decision will the pilot inform?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Critic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Assumptions and risk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result would change our plan?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Explorer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Alternative approaches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Could an interview answer this sooner?</w:t>
            </w:r>
          </w:p>
        </w:tc>
      </w:tr>
    </w:tbl>
    <w:bookmarkStart w:id="920" w:name="record-agreement-and-dissent"/>
    <w:p>
      <w:pPr>
        <w:pStyle w:val="Heading2"/>
      </w:pPr>
      <w:r>
        <w:t xml:space="preserve">Record agreement and dissent</w:t>
      </w:r>
    </w:p>
    <w:p>
      <w:pPr>
        <w:pStyle w:val="FirstParagraph"/>
      </w:pPr>
      <w:r>
        <w:t xml:space="preserve">The advisors favor learning before investing in a full course. They disagree about whether a workshop or a short interview is the better first step. This difference should remain visible in the review.</w:t>
      </w:r>
      <w:r>
        <w:rPr>
          <w:rStyle w:val="FootnoteReference"/>
        </w:rPr>
        <w:footnoteReference w:id="919"/>
      </w:r>
    </w:p>
    <w:bookmarkEnd w:id="920"/>
    <w:bookmarkStart w:id="921" w:name="keep-context-reviewable"/>
    <w:p>
      <w:pPr>
        <w:pStyle w:val="Heading2"/>
      </w:pPr>
      <w:r>
        <w:t xml:space="preserve">Keep context reviewable</w:t>
      </w:r>
    </w:p>
    <w:p>
      <w:pPr>
        <w:pStyle w:val="FirstParagraph"/>
      </w:pPr>
      <w:r>
        <w:t xml:space="preserve">Save only context worth returning to. A useful memory states its source and purpose and can be reviewed, corrected, or removed using the application’s available controls. Do not treat an inferred note as a confirmed fact.</w:t>
      </w:r>
    </w:p>
    <w:bookmarkEnd w:id="921"/>
    <w:bookmarkEnd w:id="922"/>
    <w:bookmarkStart w:id="924" w:name="make-the-next-step-explicit"/>
    <w:p>
      <w:pPr>
        <w:pStyle w:val="Heading1"/>
      </w:pPr>
      <w:r>
        <w:t xml:space="preserve">Make the next step explicit</w:t>
      </w:r>
    </w:p>
    <w:p>
      <w:pPr>
        <w:pStyle w:val="Compact"/>
        <w:numPr>
          <w:ilvl w:val="0"/>
          <w:numId w:val="1001"/>
        </w:numPr>
      </w:pPr>
      <w:r>
        <w:t xml:space="preserve">Confirm the decision the pilot should inform.</w:t>
      </w:r>
    </w:p>
    <w:p>
      <w:pPr>
        <w:pStyle w:val="Compact"/>
        <w:numPr>
          <w:ilvl w:val="0"/>
          <w:numId w:val="1001"/>
        </w:numPr>
      </w:pPr>
      <w:r>
        <w:t xml:space="preserve">Check the assumptions about the audience.</w:t>
      </w:r>
    </w:p>
    <w:p>
      <w:pPr>
        <w:pStyle w:val="Compact"/>
        <w:numPr>
          <w:ilvl w:val="0"/>
          <w:numId w:val="1001"/>
        </w:numPr>
      </w:pPr>
      <w:r>
        <w:t xml:space="preserve">Compare a workshop with shorter alternatives.</w:t>
      </w:r>
    </w:p>
    <w:p>
      <w:pPr>
        <w:pStyle w:val="Compact"/>
        <w:numPr>
          <w:ilvl w:val="0"/>
          <w:numId w:val="1001"/>
        </w:numPr>
      </w:pPr>
      <w:r>
        <w:t xml:space="preserve">Preserve the unresolved concern about preparation time.</w:t>
      </w:r>
    </w:p>
    <w:p>
      <w:pPr>
        <w:pStyle w:val="Compact"/>
        <w:numPr>
          <w:ilvl w:val="0"/>
          <w:numId w:val="1001"/>
        </w:numPr>
      </w:pPr>
      <w:r>
        <w:t xml:space="preserve">Decide what evidence to gather next.</w:t>
      </w:r>
    </w:p>
    <w:bookmarkStart w:id="923" w:name="example-record"/>
    <w:p>
      <w:pPr>
        <w:pStyle w:val="Heading2"/>
      </w:pPr>
      <w:r>
        <w:t xml:space="preserve">Example record</w:t>
      </w:r>
    </w:p>
    <w:p>
      <w:pPr>
        <w:pStyle w:val="SourceCode"/>
      </w:pPr>
      <w:r>
        <w:rPr>
          <w:rStyle w:val="VerbatimChar"/>
        </w:rPr>
        <w:t xml:space="preserve">Space: Workshop exploration (fictional)</w:t>
      </w:r>
      <w:r>
        <w:br/>
      </w:r>
      <w:r>
        <w:rPr>
          <w:rStyle w:val="VerbatimChar"/>
        </w:rPr>
        <w:t xml:space="preserve">Question: What would we learn from a short pilot?</w:t>
      </w:r>
      <w:r>
        <w:br/>
      </w:r>
      <w:r>
        <w:rPr>
          <w:rStyle w:val="VerbatimChar"/>
        </w:rPr>
        <w:t xml:space="preserve">Agreement: Learn before investing in a longer course</w:t>
      </w:r>
      <w:r>
        <w:br/>
      </w:r>
      <w:r>
        <w:rPr>
          <w:rStyle w:val="VerbatimChar"/>
        </w:rPr>
        <w:t xml:space="preserve">Dissent: Interview first, or run a workshop?</w:t>
      </w:r>
      <w:r>
        <w:br/>
      </w:r>
      <w:r>
        <w:rPr>
          <w:rStyle w:val="VerbatimChar"/>
        </w:rPr>
        <w:t xml:space="preserve">Next step: Ask prospective participants about their needs</w:t>
      </w:r>
    </w:p>
    <w:p>
      <w:pPr>
        <w:pStyle w:val="BlockText"/>
      </w:pPr>
      <w:r>
        <w:t xml:space="preserve">More perspectives can expose a better question. The user still decides.</w:t>
      </w:r>
    </w:p>
    <w:bookmarkEnd w:id="923"/>
    <w:bookmarkEnd w:id="924"/>
    <w:sectPr>
      <w:headerReference r:id="rId902" w:type="default"/>
      <w:headerReference r:id="rId901" w:type="first"/>
      <w:footerReference r:id="rId903" w:type="default"/>
      <w:footerReference r:id="rId903" w:type="first"/>
      <w:pgSz w:h="16838" w:w="11906"/>
      <w:pgMar w:bottom="1440" w:footer="600" w:gutter="0" w:header="600" w:left="1440" w:right="1440" w:top="1440"/>
      <w:titlePg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Normal"/>
      <w:pBdr>
        <w:top w:val="single" w:sz="6" w:space="6" w:color="DCE2E8"/>
      </w:pBdr>
      <w:tabs>
        <w:tab w:val="right" w:pos="9360"/>
      </w:tabs>
      <w:spacing w:after="0" w:line="240" w:lineRule="auto"/>
    </w:pPr>
    <w:r>
      <w:rPr>
        <w:rFonts w:ascii="DejaVu Sans" w:hAnsi="DejaVu Sans" w:cs="DejaVu Sans" w:eastAsia="DejaVu Sans"/>
        <w:color w:val="52616B"/>
        <w:sz w:val="16"/>
        <w:szCs w:val="16"/>
      </w:rPr>
      <w:t xml:space="preserve">Small Council</w:t>
    </w:r>
    <w:r>
      <w:tab/>
    </w:r>
    <w:r>
      <w:rPr>
        <w:rFonts w:ascii="DejaVu Sans" w:hAnsi="DejaVu Sans" w:cs="DejaVu Sans" w:eastAsia="DejaVu Sans"/>
        <w:color w:val="52616B"/>
        <w:sz w:val="16"/>
        <w:szCs w:val="16"/>
      </w:rPr>
      <w:t xml:space="preserve">   Page </w:t>
    </w:r>
    <w:r>
      <w:rPr>
        <w:rFonts w:ascii="DejaVu Sans" w:hAnsi="DejaVu Sans" w:cs="DejaVu Sans" w:eastAsia="DejaVu Sans"/>
        <w:color w:val="52616B"/>
        <w:sz w:val="16"/>
        <w:szCs w:val="16"/>
      </w:rPr>
      <w:fldChar w:fldCharType="begin"/>
    </w:r>
    <w:r>
      <w:rPr>
        <w:rFonts w:ascii="DejaVu Sans" w:hAnsi="DejaVu Sans" w:cs="DejaVu Sans" w:eastAsia="DejaVu Sans"/>
        <w:color w:val="52616B"/>
        <w:sz w:val="16"/>
        <w:szCs w:val="16"/>
      </w:rPr>
      <w:instrText xml:space="preserve"> PAGE </w:instrText>
    </w:r>
    <w:r>
      <w:rPr>
        <w:rFonts w:ascii="DejaVu Sans" w:hAnsi="DejaVu Sans" w:cs="DejaVu Sans" w:eastAsia="DejaVu Sans"/>
        <w:color w:val="52616B"/>
        <w:sz w:val="16"/>
        <w:szCs w:val="16"/>
      </w:rPr>
      <w:fldChar w:fldCharType="separate"/>
    </w:r>
    <w:r>
      <w:rPr>
        <w:rFonts w:ascii="DejaVu Sans" w:hAnsi="DejaVu Sans" w:cs="DejaVu Sans" w:eastAsia="DejaVu Sans"/>
        <w:color w:val="52616B"/>
        <w:sz w:val="16"/>
        <w:szCs w:val="16"/>
      </w:rPr>
      <w:t>1</w:t>
    </w:r>
    <w:r>
      <w:rPr>
        <w:rFonts w:ascii="DejaVu Sans" w:hAnsi="DejaVu Sans" w:cs="DejaVu Sans" w:eastAsia="DejaVu Sans"/>
        <w:color w:val="52616B"/>
        <w:sz w:val="16"/>
        <w:szCs w:val="16"/>
      </w:rPr>
      <w:fldChar w:fldCharType="end"/>
    </w:r>
    <w:r>
      <w:rPr>
        <w:rFonts w:ascii="DejaVu Sans" w:hAnsi="DejaVu Sans" w:cs="DejaVu Sans" w:eastAsia="DejaVu Sans"/>
        <w:color w:val="52616B"/>
        <w:sz w:val="16"/>
        <w:szCs w:val="16"/>
      </w:rPr>
      <w:t xml:space="preserve"> of </w:t>
    </w:r>
    <w:r>
      <w:rPr>
        <w:rFonts w:ascii="DejaVu Sans" w:hAnsi="DejaVu Sans" w:cs="DejaVu Sans" w:eastAsia="DejaVu Sans"/>
        <w:color w:val="52616B"/>
        <w:sz w:val="16"/>
        <w:szCs w:val="16"/>
      </w:rPr>
      <w:fldChar w:fldCharType="begin"/>
    </w:r>
    <w:r>
      <w:rPr>
        <w:rFonts w:ascii="DejaVu Sans" w:hAnsi="DejaVu Sans" w:cs="DejaVu Sans" w:eastAsia="DejaVu Sans"/>
        <w:color w:val="52616B"/>
        <w:sz w:val="16"/>
        <w:szCs w:val="16"/>
      </w:rPr>
      <w:instrText xml:space="preserve"> NUMPAGES </w:instrText>
    </w:r>
    <w:r>
      <w:rPr>
        <w:rFonts w:ascii="DejaVu Sans" w:hAnsi="DejaVu Sans" w:cs="DejaVu Sans" w:eastAsia="DejaVu Sans"/>
        <w:color w:val="52616B"/>
        <w:sz w:val="16"/>
        <w:szCs w:val="16"/>
      </w:rPr>
      <w:fldChar w:fldCharType="separate"/>
    </w:r>
    <w:r>
      <w:rPr>
        <w:rFonts w:ascii="DejaVu Sans" w:hAnsi="DejaVu Sans" w:cs="DejaVu Sans" w:eastAsia="DejaVu Sans"/>
        <w:color w:val="52616B"/>
        <w:sz w:val="16"/>
        <w:szCs w:val="16"/>
      </w:rPr>
      <w:t>1</w:t>
    </w:r>
    <w:r>
      <w:rPr>
        <w:rFonts w:ascii="DejaVu Sans" w:hAnsi="DejaVu Sans" w:cs="DejaVu Sans" w:eastAsia="DejaVu Sans"/>
        <w:color w:val="52616B"/>
        <w:sz w:val="16"/>
        <w:szCs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1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A summary, a recommendation, and explicit agreement are different things. This document illustrates a review pattern; it does not assert that every field is already implemented in the application.</w:t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Normal"/>
      <w:pBdr>
        <w:bottom w:val="single" w:sz="12" w:space="6" w:color="3155D9"/>
      </w:pBdr>
      <w:tabs>
        <w:tab w:val="right" w:pos="9360"/>
      </w:tabs>
      <w:spacing w:after="0" w:line="240" w:lineRule="auto"/>
    </w:pPr>
    <w:r>
      <w:drawing>
        <wp:inline distT="0" distB="0" distL="0" distR="0">
          <wp:extent cx="526079" cy="526079"/>
          <wp:docPr id="11" name="Small Council logo" descr="Small Council symbol"/>
          <a:graphic>
            <a:graphicData uri="http://schemas.openxmlformats.org/drawingml/2006/picture">
              <pic:pic>
                <pic:nvPicPr>
                  <pic:cNvPr id="11" name="logo.png" descr="Small Council symbol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6079" cy="526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DejaVu Sans" w:hAnsi="DejaVu Sans" w:cs="DejaVu Sans" w:eastAsia="DejaVu Sans"/>
        <w:b/>
        <w:bCs/>
        <w:color w:val="172229"/>
        <w:spacing w:val="-10"/>
        <w:sz w:val="40"/>
        <w:szCs w:val="40"/>
      </w:rPr>
      <w:t xml:space="preserve">  Small Council</w: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Normal"/>
      <w:pBdr>
        <w:bottom w:val="single" w:sz="6" w:space="6" w:color="DCE2E8"/>
      </w:pBdr>
      <w:tabs>
        <w:tab w:val="right" w:pos="9360"/>
      </w:tabs>
      <w:spacing w:after="0" w:line="240" w:lineRule="auto"/>
    </w:pPr>
    <w:r>
      <w:drawing>
        <wp:inline distT="0" distB="0" distL="0" distR="0">
          <wp:extent cx="190500" cy="190500"/>
          <wp:docPr id="12" name="Small Council logo" descr="Small Council symbol"/>
          <a:graphic>
            <a:graphicData uri="http://schemas.openxmlformats.org/drawingml/2006/picture">
              <pic:pic>
                <pic:nvPicPr>
                  <pic:cNvPr id="12" name="logo.png" descr="Small Council symbol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DejaVu Sans" w:hAnsi="DejaVu Sans" w:cs="DejaVu Sans" w:eastAsia="DejaVu Sans"/>
        <w:b/>
        <w:bCs/>
        <w:color w:val="172229"/>
        <w:sz w:val="22"/>
        <w:szCs w:val="22"/>
      </w:rPr>
      <w:t xml:space="preserve">  Small Council</w:t>
    </w:r>
    <w:r>
      <w:tab/>
    </w:r>
    <w:r>
      <w:rPr>
        <w:rFonts w:ascii="DejaVu Sans Mono" w:hAnsi="DejaVu Sans Mono" w:cs="DejaVu Sans Mono" w:eastAsia="DejaVu Sans Mono"/>
        <w:color w:val="52616B"/>
        <w:sz w:val="15"/>
        <w:szCs w:val="15"/>
      </w:rPr>
      <w:fldChar w:fldCharType="begin"/>
    </w:r>
    <w:r>
      <w:rPr>
        <w:rFonts w:ascii="DejaVu Sans Mono" w:hAnsi="DejaVu Sans Mono" w:cs="DejaVu Sans Mono" w:eastAsia="DejaVu Sans Mono"/>
        <w:color w:val="52616B"/>
        <w:sz w:val="15"/>
        <w:szCs w:val="15"/>
      </w:rPr>
      <w:instrText xml:space="preserve"> TITLE </w:instrText>
    </w:r>
    <w:r>
      <w:rPr>
        <w:rFonts w:ascii="DejaVu Sans Mono" w:hAnsi="DejaVu Sans Mono" w:cs="DejaVu Sans Mono" w:eastAsia="DejaVu Sans Mono"/>
        <w:color w:val="52616B"/>
        <w:sz w:val="15"/>
        <w:szCs w:val="15"/>
      </w:rPr>
      <w:fldChar w:fldCharType="separate"/>
    </w:r>
    <w:r>
      <w:rPr>
        <w:rFonts w:ascii="DejaVu Sans Mono" w:hAnsi="DejaVu Sans Mono" w:cs="DejaVu Sans Mono" w:eastAsia="DejaVu Sans Mono"/>
        <w:color w:val="52616B"/>
        <w:sz w:val="15"/>
        <w:szCs w:val="15"/>
      </w:rPr>
      <w:t>Document title</w:t>
    </w:r>
    <w:r>
      <w:rPr>
        <w:rFonts w:ascii="DejaVu Sans Mono" w:hAnsi="DejaVu Sans Mono" w:cs="DejaVu Sans Mono" w:eastAsia="DejaVu Sans Mono"/>
        <w:color w:val="52616B"/>
        <w:sz w:val="15"/>
        <w:szCs w:val="15"/>
      </w:rPr>
      <w:fldChar w:fldCharType="end"/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ejaVu Sans" w:cs="DejaVu Sans" w:eastAsia="DejaVu Sans" w:hAnsi="DejaVu Sans"/>
        <w:sz w:val="22"/>
        <w:szCs w:val="22"/>
        <w:lang w:bidi="ar-SA" w:eastAsia="en-US" w:val="en-US"/>
      </w:rPr>
    </w:rPrDefault>
    <w:pPrDefault>
      <w:pPr>
        <w:spacing w:after="140" w:line="300" w:lineRule="auto"/>
      </w:pPr>
    </w:pPrDefault>
  </w:docDefaults>
  <w:latentStyles w:count="276" w:defLockedState="0" w:defQFormat="0" w:defSemiHidden="0" w:defUIPriority="0" w:defUnhideWhenUsed="0"/>
  <w:style w:default="1" w:styleId="DefaultParagraphFont" w:type="character">
    <w:name w:val="Default Paragraph Font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rmal" w:type="paragraph">
    <w:name w:val="Normal"/>
    <w:qFormat/>
    <w:pPr/>
    <w:rPr>
      <w:rFonts w:ascii="DejaVu Sans" w:cs="DejaVu Sans" w:eastAsia="DejaVu Sans" w:hAnsi="DejaVu Sans"/>
      <w:color w:val="172229"/>
      <w:sz w:val="22"/>
      <w:szCs w:val="22"/>
    </w:rPr>
  </w:style>
  <w:style w:styleId="BodyText" w:type="paragraph">
    <w:name w:val="Body Text"/>
    <w:basedOn w:val="Normal"/>
    <w:next w:val="BodyText"/>
    <w:link w:val="BodyTextChar"/>
    <w:qFormat/>
    <w:pPr>
      <w:spacing w:after="80" w:before="0" w:line="276" w:lineRule="auto"/>
    </w:pPr>
  </w:style>
  <w:style w:customStyle="1" w:styleId="FirstParagraph" w:type="paragraph">
    <w:name w:val="First Paragraph"/>
    <w:basedOn w:val="BodyText"/>
    <w:next w:val="BodyText"/>
    <w:qFormat/>
    <w:pPr/>
  </w:style>
  <w:style w:customStyle="1" w:styleId="Compact" w:type="paragraph">
    <w:name w:val="Compact"/>
    <w:basedOn w:val="BodyText"/>
    <w:qFormat/>
    <w:pPr>
      <w:spacing w:after="40" w:before="40" w:line="276" w:lineRule="auto"/>
    </w:pPr>
  </w:style>
  <w:style w:styleId="Title" w:type="paragraph">
    <w:name w:val="Title"/>
    <w:basedOn w:val="Normal"/>
    <w:next w:val="BodyText"/>
    <w:qFormat/>
    <w:pPr>
      <w:keepNext/>
      <w:keepLines/>
      <w:spacing w:after="100" w:before="0" w:line="240" w:lineRule="auto"/>
      <w:jc w:val="left"/>
    </w:pPr>
    <w:rPr>
      <w:rFonts w:ascii="DejaVu Sans" w:cs="DejaVu Sans" w:eastAsia="DejaVu Sans" w:hAnsi="DejaVu Sans"/>
      <w:b/>
      <w:bCs/>
      <w:color w:val="172229"/>
      <w:spacing w:val="-20"/>
      <w:sz w:val="56"/>
      <w:szCs w:val="56"/>
    </w:rPr>
  </w:style>
  <w:style w:styleId="Subtitle" w:type="paragraph">
    <w:name w:val="Subtitle"/>
    <w:basedOn w:val="Normal"/>
    <w:next w:val="BodyText"/>
    <w:qFormat/>
    <w:pPr>
      <w:keepNext/>
      <w:keepLines/>
      <w:spacing w:after="160" w:before="0"/>
      <w:jc w:val="left"/>
    </w:pPr>
    <w:rPr>
      <w:rFonts w:ascii="DejaVu Sans" w:cs="DejaVu Sans" w:eastAsia="DejaVu Sans" w:hAnsi="DejaVu Sans"/>
      <w:color w:val="52616B"/>
      <w:sz w:val="24"/>
      <w:szCs w:val="24"/>
    </w:rPr>
  </w:style>
  <w:style w:customStyle="1" w:styleId="Author" w:type="paragraph">
    <w:name w:val="Author"/>
    <w:basedOn w:val="Normal"/>
    <w:next w:val="BodyText"/>
    <w:qFormat/>
    <w:pPr>
      <w:keepNext/>
      <w:keepLines/>
      <w:spacing w:after="40" w:before="0"/>
      <w:jc w:val="left"/>
    </w:pPr>
    <w:rPr>
      <w:rFonts w:ascii="DejaVu Sans" w:cs="DejaVu Sans" w:eastAsia="DejaVu Sans" w:hAnsi="DejaVu Sans"/>
      <w:b/>
      <w:bCs/>
      <w:color w:val="172229"/>
      <w:sz w:val="22"/>
      <w:szCs w:val="22"/>
    </w:rPr>
  </w:style>
  <w:style w:customStyle="1" w:styleId="Date" w:type="paragraph">
    <w:name w:val="Date"/>
    <w:basedOn w:val="Normal"/>
    <w:next w:val="BodyText"/>
    <w:qFormat/>
    <w:pPr>
      <w:keepNext/>
      <w:keepLines/>
      <w:spacing w:after="320" w:before="0"/>
      <w:jc w:val="left"/>
    </w:pPr>
    <w:rPr>
      <w:rFonts w:ascii="DejaVu Sans Mono" w:cs="DejaVu Sans Mono" w:eastAsia="DejaVu Sans Mono" w:hAnsi="DejaVu Sans Mono"/>
      <w:color w:val="52616B"/>
      <w:sz w:val="18"/>
      <w:szCs w:val="18"/>
    </w:rPr>
  </w:style>
  <w:style w:customStyle="1" w:styleId="AbstractTitle" w:type="paragraph">
    <w:name w:val="Abstract Title"/>
    <w:basedOn w:val="Normal"/>
    <w:next w:val="Abstract"/>
    <w:qFormat/>
    <w:pPr>
      <w:keepNext/>
      <w:spacing w:after="60" w:before="240"/>
    </w:pPr>
    <w:rPr>
      <w:rFonts w:ascii="DejaVu Sans Mono" w:cs="DejaVu Sans Mono" w:eastAsia="DejaVu Sans Mono" w:hAnsi="DejaVu Sans Mono"/>
      <w:b/>
      <w:bCs/>
      <w:caps/>
      <w:color w:val="3155D9"/>
      <w:spacing w:val="24"/>
      <w:sz w:val="16"/>
      <w:szCs w:val="16"/>
    </w:rPr>
  </w:style>
  <w:style w:customStyle="1" w:styleId="Abstract" w:type="paragraph">
    <w:name w:val="Abstract"/>
    <w:basedOn w:val="Normal"/>
    <w:next w:val="BodyText"/>
    <w:qFormat/>
    <w:pPr>
      <w:pBdr>
        <w:left w:color="3155D9" w:space="12" w:sz="18" w:val="single"/>
      </w:pBdr>
      <w:ind w:left="240"/>
      <w:spacing w:after="160" w:before="0" w:line="276" w:lineRule="auto"/>
    </w:pPr>
    <w:rPr>
      <w:rFonts w:ascii="DejaVu Sans" w:cs="DejaVu Sans" w:eastAsia="DejaVu Sans" w:hAnsi="DejaVu Sans"/>
      <w:color w:val="172229"/>
      <w:sz w:val="22"/>
      <w:szCs w:val="22"/>
    </w:rPr>
  </w:style>
  <w:style w:customStyle="1" w:styleId="Bibliography" w:type="paragraph">
    <w:name w:val="Bibliography"/>
    <w:basedOn w:val="Normal"/>
    <w:qFormat/>
    <w:pPr>
      <w:ind w:hanging="360" w:left="360"/>
      <w:spacing w:after="100" w:before="0"/>
    </w:pPr>
    <w:rPr>
      <w:rFonts w:ascii="DejaVu Sans" w:cs="DejaVu Sans" w:eastAsia="DejaVu Sans" w:hAnsi="DejaVu Sans"/>
      <w:color w:val="172229"/>
      <w:sz w:val="20"/>
      <w:szCs w:val="20"/>
    </w:rPr>
  </w:style>
  <w:style w:styleId="Heading1" w:type="paragraph">
    <w:name w:val="heading 1"/>
    <w:basedOn w:val="Normal"/>
    <w:next w:val="BodyText"/>
    <w:qFormat/>
    <w:pPr>
      <w:keepNext/>
      <w:keepLines/>
      <w:spacing w:after="100" w:before="240" w:line="240" w:lineRule="auto"/>
      <w:outlineLvl w:val="0"/>
    </w:pPr>
    <w:rPr>
      <w:rFonts w:ascii="DejaVu Sans" w:cs="DejaVu Sans" w:eastAsia="DejaVu Sans" w:hAnsi="DejaVu Sans"/>
      <w:b/>
      <w:bCs/>
      <w:color w:val="3155D9"/>
      <w:spacing w:val="-10"/>
      <w:sz w:val="32"/>
      <w:szCs w:val="32"/>
    </w:rPr>
  </w:style>
  <w:style w:styleId="Heading2" w:type="paragraph">
    <w:name w:val="heading 2"/>
    <w:basedOn w:val="Normal"/>
    <w:next w:val="BodyText"/>
    <w:qFormat/>
    <w:pPr>
      <w:keepNext/>
      <w:keepLines/>
      <w:spacing w:after="80" w:before="200" w:line="240" w:lineRule="auto"/>
      <w:outlineLvl w:val="1"/>
    </w:pPr>
    <w:rPr>
      <w:rFonts w:ascii="DejaVu Sans" w:cs="DejaVu Sans" w:eastAsia="DejaVu Sans" w:hAnsi="DejaVu Sans"/>
      <w:b/>
      <w:bCs/>
      <w:color w:val="172229"/>
      <w:spacing w:val="-10"/>
      <w:sz w:val="26"/>
      <w:szCs w:val="26"/>
    </w:rPr>
  </w:style>
  <w:style w:styleId="Heading3" w:type="paragraph">
    <w:name w:val="heading 3"/>
    <w:basedOn w:val="Normal"/>
    <w:next w:val="BodyText"/>
    <w:qFormat/>
    <w:pPr>
      <w:keepNext/>
      <w:keepLines/>
      <w:spacing w:after="60" w:before="160" w:line="240" w:lineRule="auto"/>
      <w:outlineLvl w:val="2"/>
    </w:pPr>
    <w:rPr>
      <w:rFonts w:ascii="DejaVu Sans" w:cs="DejaVu Sans" w:eastAsia="DejaVu Sans" w:hAnsi="DejaVu Sans"/>
      <w:b/>
      <w:bCs/>
      <w:color w:val="3155D9"/>
      <w:sz w:val="22"/>
      <w:szCs w:val="22"/>
    </w:rPr>
  </w:style>
  <w:style w:styleId="Heading4" w:type="paragraph">
    <w:name w:val="heading 4"/>
    <w:basedOn w:val="Normal"/>
    <w:next w:val="BodyText"/>
    <w:qFormat/>
    <w:pPr>
      <w:keepNext/>
      <w:keepLines/>
      <w:spacing w:after="60" w:before="160"/>
      <w:outlineLvl w:val="3"/>
    </w:pPr>
    <w:rPr>
      <w:rFonts w:ascii="DejaVu Sans" w:cs="DejaVu Sans" w:eastAsia="DejaVu Sans" w:hAnsi="DejaVu Sans"/>
      <w:b/>
      <w:bCs/>
      <w:color w:val="172229"/>
      <w:sz w:val="22"/>
      <w:szCs w:val="22"/>
    </w:rPr>
  </w:style>
  <w:style w:styleId="Heading5" w:type="paragraph">
    <w:name w:val="heading 5"/>
    <w:basedOn w:val="Normal"/>
    <w:next w:val="BodyText"/>
    <w:qFormat/>
    <w:pPr>
      <w:keepNext/>
      <w:keepLines/>
      <w:spacing w:after="60" w:before="120"/>
      <w:outlineLvl w:val="4"/>
    </w:pPr>
    <w:rPr>
      <w:rFonts w:ascii="DejaVu Sans" w:cs="DejaVu Sans" w:eastAsia="DejaVu Sans" w:hAnsi="DejaVu Sans"/>
      <w:b/>
      <w:bCs/>
      <w:color w:val="52616B"/>
      <w:sz w:val="21"/>
      <w:szCs w:val="21"/>
    </w:rPr>
  </w:style>
  <w:style w:styleId="Heading6" w:type="paragraph">
    <w:name w:val="heading 6"/>
    <w:basedOn w:val="Normal"/>
    <w:next w:val="BodyText"/>
    <w:qFormat/>
    <w:pPr>
      <w:keepNext/>
      <w:keepLines/>
      <w:spacing w:after="60" w:before="120"/>
      <w:outlineLvl w:val="5"/>
    </w:pPr>
    <w:rPr>
      <w:rFonts w:ascii="DejaVu Sans" w:cs="DejaVu Sans" w:eastAsia="DejaVu Sans" w:hAnsi="DejaVu Sans"/>
      <w:b/>
      <w:bCs/>
      <w:i/>
      <w:iCs/>
      <w:color w:val="52616B"/>
      <w:sz w:val="20"/>
      <w:szCs w:val="20"/>
    </w:rPr>
  </w:style>
  <w:style w:styleId="Heading7" w:type="paragraph">
    <w:name w:val="heading 7"/>
    <w:basedOn w:val="Normal"/>
    <w:next w:val="BodyText"/>
    <w:qFormat/>
    <w:pPr>
      <w:keepNext/>
      <w:keepLines/>
      <w:spacing w:after="60" w:before="200"/>
      <w:outlineLvl w:val="6"/>
    </w:pPr>
    <w:rPr>
      <w:rFonts w:ascii="DejaVu Sans" w:cs="DejaVu Sans" w:eastAsia="DejaVu Sans" w:hAnsi="DejaVu Sans"/>
      <w:i/>
      <w:iCs/>
      <w:color w:val="52616B"/>
      <w:sz w:val="20"/>
      <w:szCs w:val="20"/>
    </w:rPr>
  </w:style>
  <w:style w:styleId="Heading8" w:type="paragraph">
    <w:name w:val="heading 8"/>
    <w:basedOn w:val="Normal"/>
    <w:next w:val="BodyText"/>
    <w:qFormat/>
    <w:pPr>
      <w:keepNext/>
      <w:keepLines/>
      <w:spacing w:after="60" w:before="200"/>
      <w:outlineLvl w:val="7"/>
    </w:pPr>
    <w:rPr>
      <w:rFonts w:ascii="DejaVu Sans" w:cs="DejaVu Sans" w:eastAsia="DejaVu Sans" w:hAnsi="DejaVu Sans"/>
      <w:i/>
      <w:iCs/>
      <w:color w:val="52616B"/>
      <w:sz w:val="20"/>
      <w:szCs w:val="20"/>
    </w:rPr>
  </w:style>
  <w:style w:styleId="Heading9" w:type="paragraph">
    <w:name w:val="heading 9"/>
    <w:basedOn w:val="Normal"/>
    <w:next w:val="BodyText"/>
    <w:qFormat/>
    <w:pPr>
      <w:keepNext/>
      <w:keepLines/>
      <w:spacing w:after="60" w:before="200"/>
      <w:outlineLvl w:val="8"/>
    </w:pPr>
    <w:rPr>
      <w:rFonts w:ascii="DejaVu Sans" w:cs="DejaVu Sans" w:eastAsia="DejaVu Sans" w:hAnsi="DejaVu Sans"/>
      <w:i/>
      <w:iCs/>
      <w:color w:val="52616B"/>
      <w:sz w:val="20"/>
      <w:szCs w:val="20"/>
    </w:rPr>
  </w:style>
  <w:style w:styleId="BlockText" w:type="paragraph">
    <w:name w:val="Block Text"/>
    <w:basedOn w:val="BodyText"/>
    <w:next w:val="BodyText"/>
    <w:qFormat/>
    <w:pPr>
      <w:pBdr>
        <w:left w:color="3155D9" w:space="12" w:sz="18" w:val="single"/>
      </w:pBdr>
      <w:ind w:left="300"/>
      <w:spacing w:after="80" w:before="80" w:line="276" w:lineRule="auto"/>
    </w:pPr>
    <w:rPr>
      <w:i/>
      <w:iCs/>
      <w:color w:val="172229"/>
    </w:rPr>
  </w:style>
  <w:style w:styleId="FootnoteText" w:type="paragraph">
    <w:name w:val="Footnote Text"/>
    <w:basedOn w:val="Normal"/>
    <w:link w:val="FootnoteTextChar"/>
    <w:qFormat/>
    <w:pPr>
      <w:spacing w:after="40" w:before="0"/>
    </w:pPr>
    <w:rPr>
      <w:rFonts w:ascii="DejaVu Sans" w:cs="DejaVu Sans" w:eastAsia="DejaVu Sans" w:hAnsi="DejaVu Sans"/>
      <w:color w:val="52616B"/>
      <w:sz w:val="18"/>
      <w:szCs w:val="18"/>
    </w:rPr>
  </w:style>
  <w:style w:customStyle="1" w:styleId="DefinitionTerm" w:type="paragraph">
    <w:name w:val="Definition Term"/>
    <w:basedOn w:val="Normal"/>
    <w:next w:val="Definition"/>
    <w:qFormat/>
    <w:pPr>
      <w:keepNext/>
      <w:keepLines/>
      <w:spacing w:after="0" w:before="120"/>
    </w:pPr>
    <w:rPr>
      <w:b/>
      <w:bCs/>
      <w:color w:val="172229"/>
    </w:rPr>
  </w:style>
  <w:style w:customStyle="1" w:styleId="Definition" w:type="paragraph">
    <w:name w:val="Definition"/>
    <w:basedOn w:val="Normal"/>
    <w:qFormat/>
    <w:pPr>
      <w:ind w:left="360"/>
      <w:spacing w:after="120" w:before="0"/>
    </w:pPr>
  </w:style>
  <w:style w:styleId="Caption" w:type="paragraph">
    <w:name w:val="Caption"/>
    <w:basedOn w:val="Normal"/>
    <w:qFormat/>
    <w:pPr>
      <w:spacing w:after="120" w:before="60"/>
    </w:pPr>
    <w:rPr>
      <w:rFonts w:ascii="DejaVu Sans Mono" w:cs="DejaVu Sans Mono" w:eastAsia="DejaVu Sans Mono" w:hAnsi="DejaVu Sans Mono"/>
      <w:color w:val="52616B"/>
      <w:sz w:val="18"/>
      <w:szCs w:val="18"/>
    </w:rPr>
  </w:style>
  <w:style w:customStyle="1" w:styleId="TableCaption" w:type="paragraph">
    <w:name w:val="Table Caption"/>
    <w:basedOn w:val="Caption"/>
    <w:qFormat/>
    <w:pPr>
      <w:keepNext/>
      <w:keepLines/>
      <w:spacing w:after="60" w:before="100"/>
    </w:pPr>
    <w:rPr>
      <w:rFonts w:ascii="DejaVu Sans Mono" w:cs="DejaVu Sans Mono" w:eastAsia="DejaVu Sans Mono" w:hAnsi="DejaVu Sans Mono"/>
      <w:color w:val="52616B"/>
      <w:sz w:val="18"/>
      <w:szCs w:val="18"/>
    </w:rPr>
  </w:style>
  <w:style w:customStyle="1" w:styleId="ImageCaption" w:type="paragraph">
    <w:name w:val="Image Caption"/>
    <w:basedOn w:val="Caption"/>
    <w:qFormat/>
    <w:pPr>
      <w:spacing w:after="120" w:before="60"/>
    </w:pPr>
    <w:rPr>
      <w:rFonts w:ascii="DejaVu Sans Mono" w:cs="DejaVu Sans Mono" w:eastAsia="DejaVu Sans Mono" w:hAnsi="DejaVu Sans Mono"/>
      <w:color w:val="52616B"/>
      <w:sz w:val="18"/>
      <w:szCs w:val="18"/>
    </w:rPr>
  </w:style>
  <w:style w:customStyle="1" w:styleId="Figure" w:type="paragraph">
    <w:name w:val="Figure"/>
    <w:basedOn w:val="Normal"/>
    <w:qFormat/>
    <w:pPr>
      <w:keepNext/>
      <w:keepLines/>
      <w:spacing w:after="0" w:before="120"/>
    </w:pPr>
  </w:style>
  <w:style w:customStyle="1" w:styleId="CaptionedFigure" w:type="paragraph">
    <w:name w:val="Captioned Figure"/>
    <w:basedOn w:val="Figure"/>
    <w:qFormat/>
    <w:pPr>
      <w:keepNext/>
    </w:pPr>
  </w:style>
  <w:style w:styleId="TOCHeading" w:type="paragraph">
    <w:name w:val="TOC Heading"/>
    <w:basedOn w:val="Heading1"/>
    <w:next w:val="BodyText"/>
    <w:qFormat/>
    <w:pPr>
      <w:outlineLvl w:val="9"/>
    </w:pPr>
  </w:style>
  <w:style w:customStyle="1" w:styleId="Callout" w:type="paragraph">
    <w:name w:val="Callout"/>
    <w:basedOn w:val="BodyText"/>
    <w:next w:val="BodyText"/>
    <w:qFormat/>
    <w:pPr>
      <w:keepLines/>
      <w:pBdr>
        <w:left w:color="3155D9" w:space="10" w:sz="24" w:val="single"/>
      </w:pBdr>
      <w:shd w:color="auto" w:fill="EAF0FF" w:val="clear"/>
      <w:ind w:left="200" w:right="100"/>
      <w:spacing w:after="80" w:before="80" w:line="276" w:lineRule="auto"/>
    </w:pPr>
  </w:style>
  <w:style w:styleId="Label" w:type="character">
    <w:name w:val="Label"/>
    <w:basedOn w:val="DefaultParagraphFont"/>
    <w:qFormat/>
    <w:rPr>
      <w:rFonts w:ascii="DejaVu Sans Mono" w:cs="DejaVu Sans Mono" w:eastAsia="DejaVu Sans Mono" w:hAnsi="DejaVu Sans Mono"/>
      <w:b/>
      <w:bCs/>
      <w:caps/>
      <w:color w:val="3155D9"/>
      <w:spacing w:val="20"/>
      <w:sz w:val="16"/>
      <w:szCs w:val="16"/>
    </w:rPr>
  </w:style>
  <w:style w:customStyle="1" w:styleId="SourceCode" w:type="paragraph">
    <w:name w:val="Source Code"/>
    <w:basedOn w:val="Normal"/>
    <w:next w:val="SourceCode"/>
    <w:qFormat/>
    <w:pPr>
      <w:keepLines/>
      <w:pBdr>
        <w:left w:color="3155D9" w:space="8" w:sz="18" w:val="single"/>
      </w:pBdr>
      <w:shd w:color="auto" w:fill="EAF0FF" w:val="clear"/>
      <w:wordWrap w:val="0"/>
      <w:ind w:left="120" w:right="120"/>
      <w:spacing w:after="80" w:before="80" w:line="252" w:lineRule="auto"/>
    </w:pPr>
    <w:rPr>
      <w:rFonts w:ascii="DejaVu Sans Mono" w:cs="DejaVu Sans Mono" w:eastAsia="DejaVu Sans Mono" w:hAnsi="DejaVu Sans Mono"/>
      <w:color w:val="172229"/>
      <w:sz w:val="18"/>
      <w:szCs w:val="18"/>
    </w:rPr>
  </w:style>
  <w:style w:styleId="BodyTextChar" w:type="character">
    <w:name w:val="Body Text Char"/>
    <w:basedOn w:val="DefaultParagraphFont"/>
    <w:qFormat/>
    <w:rPr>
      <w:rFonts w:ascii="DejaVu Sans" w:cs="DejaVu Sans" w:eastAsia="DejaVu Sans" w:hAnsi="DejaVu Sans"/>
      <w:color w:val="172229"/>
      <w:sz w:val="22"/>
      <w:szCs w:val="22"/>
    </w:rPr>
  </w:style>
  <w:style w:styleId="FootnoteTextChar" w:type="character">
    <w:name w:val="Footnote Text Char"/>
    <w:basedOn w:val="DefaultParagraphFont"/>
    <w:qFormat/>
    <w:rPr>
      <w:rFonts w:ascii="DejaVu Sans" w:cs="DejaVu Sans" w:eastAsia="DejaVu Sans" w:hAnsi="DejaVu Sans"/>
      <w:color w:val="52616B"/>
      <w:sz w:val="18"/>
      <w:szCs w:val="18"/>
    </w:rPr>
  </w:style>
  <w:style w:styleId="VerbatimChar" w:type="character">
    <w:name w:val="Verbatim Char"/>
    <w:basedOn w:val="DefaultParagraphFont"/>
    <w:qFormat/>
    <w:rPr>
      <w:rFonts w:ascii="DejaVu Sans Mono" w:cs="DejaVu Sans Mono" w:eastAsia="DejaVu Sans Mono" w:hAnsi="DejaVu Sans Mono"/>
      <w:color w:val="172229"/>
      <w:sz w:val="19"/>
      <w:szCs w:val="19"/>
      <w:shd w:color="auto" w:fill="EAF0FF" w:val="clear"/>
    </w:rPr>
  </w:style>
  <w:style w:styleId="SectionNumber" w:type="character">
    <w:name w:val="Section Number"/>
    <w:basedOn w:val="DefaultParagraphFont"/>
    <w:qFormat/>
    <w:rPr>
      <w:b/>
    </w:rPr>
  </w:style>
  <w:style w:styleId="FootnoteReference" w:type="character">
    <w:name w:val="Footnote Reference"/>
    <w:basedOn w:val="DefaultParagraphFont"/>
    <w:qFormat/>
    <w:rPr>
      <w:vertAlign w:val="superscript"/>
    </w:rPr>
  </w:style>
  <w:style w:styleId="Hyperlink" w:type="character">
    <w:name w:val="Hyperlink"/>
    <w:basedOn w:val="DefaultParagraphFont"/>
    <w:qFormat/>
    <w:rPr>
      <w:color w:val="3155D9"/>
      <w:u w:val="single"/>
    </w:rPr>
  </w:style>
  <w:style w:styleId="KeywordTok" w:type="character">
    <w:name w:val="KeywordTok"/>
    <w:basedOn w:val="VerbatimChar"/>
    <w:qFormat/>
    <w:rPr>
      <w:b/>
      <w:bCs/>
      <w:color w:val="3155D9"/>
    </w:rPr>
  </w:style>
  <w:style w:styleId="ControlFlowTok" w:type="character">
    <w:name w:val="ControlFlowTok"/>
    <w:basedOn w:val="VerbatimChar"/>
    <w:qFormat/>
    <w:rPr>
      <w:b/>
      <w:bCs/>
      <w:color w:val="3155D9"/>
    </w:rPr>
  </w:style>
  <w:style w:styleId="DataTypeTok" w:type="character">
    <w:name w:val="DataTypeTok"/>
    <w:basedOn w:val="VerbatimChar"/>
    <w:qFormat/>
    <w:rPr>
      <w:color w:val="3155D9"/>
    </w:rPr>
  </w:style>
  <w:style w:styleId="StringTok" w:type="character">
    <w:name w:val="StringTok"/>
    <w:basedOn w:val="VerbatimChar"/>
    <w:qFormat/>
    <w:rPr>
      <w:color w:val="3155D9"/>
    </w:rPr>
  </w:style>
  <w:style w:styleId="CharTok" w:type="character">
    <w:name w:val="CharTok"/>
    <w:basedOn w:val="VerbatimChar"/>
    <w:qFormat/>
    <w:rPr>
      <w:color w:val="3155D9"/>
    </w:rPr>
  </w:style>
  <w:style w:styleId="SpecialStringTok" w:type="character">
    <w:name w:val="SpecialStringTok"/>
    <w:basedOn w:val="VerbatimChar"/>
    <w:qFormat/>
    <w:rPr>
      <w:color w:val="3155D9"/>
    </w:rPr>
  </w:style>
  <w:style w:styleId="VerbatimStringTok" w:type="character">
    <w:name w:val="VerbatimStringTok"/>
    <w:basedOn w:val="VerbatimChar"/>
    <w:qFormat/>
    <w:rPr>
      <w:color w:val="3155D9"/>
    </w:rPr>
  </w:style>
  <w:style w:styleId="CommentTok" w:type="character">
    <w:name w:val="CommentTok"/>
    <w:basedOn w:val="VerbatimChar"/>
    <w:qFormat/>
    <w:rPr>
      <w:i/>
      <w:iCs/>
      <w:color w:val="52616B"/>
    </w:rPr>
  </w:style>
  <w:style w:styleId="DocumentationTok" w:type="character">
    <w:name w:val="DocumentationTok"/>
    <w:basedOn w:val="VerbatimChar"/>
    <w:qFormat/>
    <w:rPr>
      <w:i/>
      <w:iCs/>
      <w:color w:val="52616B"/>
    </w:rPr>
  </w:style>
  <w:style w:styleId="AnnotationTok" w:type="character">
    <w:name w:val="AnnotationTok"/>
    <w:basedOn w:val="VerbatimChar"/>
    <w:qFormat/>
    <w:rPr>
      <w:i/>
      <w:iCs/>
      <w:color w:val="52616B"/>
    </w:rPr>
  </w:style>
  <w:style w:styleId="FunctionTok" w:type="character">
    <w:name w:val="FunctionTok"/>
    <w:basedOn w:val="VerbatimChar"/>
    <w:qFormat/>
    <w:rPr>
      <w:b/>
      <w:bCs/>
      <w:color w:val="172229"/>
    </w:rPr>
  </w:style>
  <w:style w:styleId="NumTok" w:type="character">
    <w:name w:val="NumTok"/>
    <w:basedOn w:val="VerbatimChar"/>
    <w:qFormat/>
    <w:rPr>
      <w:color w:val="805000"/>
    </w:rPr>
  </w:style>
  <w:style w:styleId="DecValTok" w:type="character">
    <w:name w:val="DecValTok"/>
    <w:basedOn w:val="VerbatimChar"/>
    <w:qFormat/>
    <w:rPr>
      <w:color w:val="805000"/>
    </w:rPr>
  </w:style>
  <w:style w:styleId="FloatTok" w:type="character">
    <w:name w:val="FloatTok"/>
    <w:basedOn w:val="VerbatimChar"/>
    <w:qFormat/>
    <w:rPr>
      <w:color w:val="805000"/>
    </w:rPr>
  </w:style>
  <w:style w:styleId="BaseNTok" w:type="character">
    <w:name w:val="BaseNTok"/>
    <w:basedOn w:val="VerbatimChar"/>
    <w:qFormat/>
    <w:rPr>
      <w:color w:val="805000"/>
    </w:rPr>
  </w:style>
  <w:style w:styleId="ConstantTok" w:type="character">
    <w:name w:val="ConstantTok"/>
    <w:basedOn w:val="VerbatimChar"/>
    <w:qFormat/>
    <w:rPr>
      <w:color w:val="805000"/>
    </w:rPr>
  </w:style>
  <w:style w:styleId="AttributeTok" w:type="character">
    <w:name w:val="AttributeTok"/>
    <w:basedOn w:val="VerbatimChar"/>
    <w:qFormat/>
    <w:rPr>
      <w:color w:val="3155D9"/>
    </w:rPr>
  </w:style>
  <w:style w:styleId="VariableTok" w:type="character">
    <w:name w:val="VariableTok"/>
    <w:basedOn w:val="VerbatimChar"/>
    <w:qFormat/>
    <w:rPr>
      <w:color w:val="172229"/>
    </w:rPr>
  </w:style>
  <w:style w:styleId="OperatorTok" w:type="character">
    <w:name w:val="OperatorTok"/>
    <w:basedOn w:val="VerbatimChar"/>
    <w:qFormat/>
    <w:rPr>
      <w:color w:val="52616B"/>
    </w:rPr>
  </w:style>
  <w:style w:styleId="BuiltInTok" w:type="character">
    <w:name w:val="BuiltInTok"/>
    <w:basedOn w:val="VerbatimChar"/>
    <w:qFormat/>
    <w:rPr>
      <w:color w:val="3155D9"/>
    </w:rPr>
  </w:style>
  <w:style w:styleId="ImportTok" w:type="character">
    <w:name w:val="ImportTok"/>
    <w:basedOn w:val="VerbatimChar"/>
    <w:qFormat/>
    <w:rPr>
      <w:color w:val="3155D9"/>
    </w:rPr>
  </w:style>
  <w:style w:styleId="ErrorTok" w:type="character">
    <w:name w:val="ErrorTok"/>
    <w:basedOn w:val="VerbatimChar"/>
    <w:qFormat/>
    <w:rPr>
      <w:b/>
      <w:bCs/>
      <w:color w:val="A82940"/>
    </w:rPr>
  </w:style>
  <w:style w:styleId="AlertTok" w:type="character">
    <w:name w:val="AlertTok"/>
    <w:basedOn w:val="VerbatimChar"/>
    <w:qFormat/>
    <w:rPr>
      <w:b/>
      <w:bCs/>
      <w:color w:val="A82940"/>
    </w:rPr>
  </w:style>
  <w:style w:styleId="WarningTok" w:type="character">
    <w:name w:val="WarningTok"/>
    <w:basedOn w:val="VerbatimChar"/>
    <w:qFormat/>
    <w:rPr>
      <w:i/>
      <w:iCs/>
      <w:color w:val="A82940"/>
    </w:rPr>
  </w:style>
  <w:style w:customStyle="1" w:styleId="Table" w:type="table">
    <w:name w:val="Table"/>
    <w:basedOn w:val="TableNormal"/>
    <w:qFormat/>
    <w:tblPr>
      <w:tblStyleRowBandSize w:val="1"/>
      <w:tblStyleColBandSize w:val="1"/>
      <w:tblBorders>
        <w:top w:color="DCE2E8" w:space="0" w:sz="6" w:val="single"/>
        <w:bottom w:color="DCE2E8" w:space="0" w:sz="6" w:val="single"/>
        <w:insideH w:color="DCE2E8" w:space="0" w:sz="4" w:val="single"/>
      </w:tblBorders>
      <w:tblCellMar>
        <w:top w:type="dxa" w:w="80"/>
        <w:left w:type="dxa" w:w="100"/>
        <w:bottom w:type="dxa" w:w="80"/>
        <w:right w:type="dxa" w:w="100"/>
      </w:tblCellMar>
    </w:tblPr>
    <w:tblStylePr w:type="firstRow">
      <w:rPr>
        <w:rFonts w:ascii="DejaVu Sans Mono" w:hAnsi="DejaVu Sans Mono"/>
        <w:b/>
        <w:caps/>
        <w:color w:val="3155D9"/>
        <w:sz w:val="17"/>
      </w:rPr>
      <w:tcPr>
        <w:tcBorders>
          <w:bottom w:color="3155D9" w:space="0" w:sz="12" w:val="single"/>
        </w:tcBorders>
      </w:tcPr>
    </w:tblStyle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911" Target="numbering.xml" /><Relationship Type="http://schemas.openxmlformats.org/officeDocument/2006/relationships/styles" Id="rId910" Target="styles.xml" /><Relationship Type="http://schemas.openxmlformats.org/officeDocument/2006/relationships/settings" Id="rId909" Target="settings.xml" /><Relationship Type="http://schemas.openxmlformats.org/officeDocument/2006/relationships/webSettings" Id="rId908" Target="webSettings.xml" /><Relationship Type="http://schemas.openxmlformats.org/officeDocument/2006/relationships/fontTable" Id="rId907" Target="fontTable.xml" /><Relationship Type="http://schemas.openxmlformats.org/officeDocument/2006/relationships/theme" Id="rId906" Target="theme/theme1.xml" /><Relationship Type="http://schemas.openxmlformats.org/officeDocument/2006/relationships/footnotes" Id="rId905" Target="footnotes.xml" /><Relationship Type="http://schemas.openxmlformats.org/officeDocument/2006/relationships/comments" Id="rId904" Target="comments.xml" /><Relationship Id="rId901" Target="header1.xml" Type="http://schemas.openxmlformats.org/officeDocument/2006/relationships/header" /><Relationship Id="rId902" Target="header2.xml" Type="http://schemas.openxmlformats.org/officeDocument/2006/relationships/header" /><Relationship Id="rId903" Target="footer1.xml" Type="http://schemas.openxmlformats.org/officeDocument/2006/relationships/footer" /><Relationship Type="http://schemas.openxmlformats.org/officeDocument/2006/relationships/image" Id="rId912" Target="media/rId912.png" /></Relationships>
</file>

<file path=word/_rels/footnotes.xml.rels><?xml version="1.0" encoding="UTF-8"?><Relationships xmlns="http://schemas.openxmlformats.org/package/2006/relationships" /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/Relationships>
</file>

<file path=word/theme/theme1.xml><?xml version="1.0" encoding="utf-8"?>
<a:theme xmlns:a="http://schemas.openxmlformats.org/drawingml/2006/main" name="Office Theme">
  <a:themeElements>
    <a:clrScheme name="Small Council Cobalt">
      <a:dk1>
        <a:srgbClr val="172229"/>
      </a:dk1>
      <a:lt1>
        <a:srgbClr val="FFFFFF"/>
      </a:lt1>
      <a:dk2>
        <a:srgbClr val="3155D9"/>
      </a:dk2>
      <a:lt2>
        <a:srgbClr val="F5F7FA"/>
      </a:lt2>
      <a:accent1>
        <a:srgbClr val="3155D9"/>
      </a:accent1>
      <a:accent2>
        <a:srgbClr val="3155D9"/>
      </a:accent2>
      <a:accent3>
        <a:srgbClr val="EAF0FF"/>
      </a:accent3>
      <a:accent4>
        <a:srgbClr val="172229"/>
      </a:accent4>
      <a:accent5>
        <a:srgbClr val="3155D9"/>
      </a:accent5>
      <a:accent6>
        <a:srgbClr val="D5F27D"/>
      </a:accent6>
      <a:hlink>
        <a:srgbClr val="3155D9"/>
      </a:hlink>
      <a:folHlink>
        <a:srgbClr val="52616B"/>
      </a:folHlink>
    </a:clrScheme>
    <a:fontScheme name="Small Council">
      <a:majorFont>
        <a:latin typeface="DejaVu Sans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DejaVu San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Give every perspective a seat</dc:title>
  <dc:creator>Small Council</dc:creator>
  <cp:keywords/>
  <dcterms:created xsi:type="dcterms:W3CDTF">2026-11-06T20:46:01Z</dcterms:created>
  <dcterms:modified xsi:type="dcterms:W3CDTF">2026-11-06T20:46:01Z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stract">
    <vt:lpwstr>An illustrative brief demonstrating the Small Council document system. The advisors, question, recommendations, and records are fictional.</vt:lpwstr>
  </property>
  <property fmtid="{D5CDD505-2E9C-101B-9397-08002B2CF9AE}" pid="3" name="date">
    <vt:lpwstr>6 November 2026</vt:lpwstr>
  </property>
  <property fmtid="{D5CDD505-2E9C-101B-9397-08002B2CF9AE}" pid="4" name="subtitle">
    <vt:lpwstr>A council brief for a considered decision</vt:lpwstr>
  </property>
</Properties>
</file>